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 w:firstLine="720"/>
        <w:jc w:val="right"/>
        <w:rPr>
          <w:rFonts w:ascii="Arial" w:hAnsi="Arial"/>
          <w:b w:val="1"/>
          <w:color w:val="26282F"/>
          <w:sz w:val="20"/>
        </w:rPr>
      </w:pPr>
      <w:r>
        <w:rPr>
          <w:rFonts w:ascii="Arial" w:hAnsi="Arial"/>
          <w:b w:val="1"/>
          <w:color w:val="26282F"/>
          <w:sz w:val="24"/>
        </w:rPr>
        <w:t>П</w:t>
      </w:r>
      <w:r>
        <w:rPr>
          <w:rFonts w:ascii="Arial" w:hAnsi="Arial"/>
          <w:b w:val="1"/>
          <w:color w:val="26282F"/>
          <w:sz w:val="20"/>
        </w:rPr>
        <w:t>риложение N 2</w:t>
      </w:r>
      <w:r>
        <w:rPr>
          <w:rFonts w:ascii="Arial" w:hAnsi="Arial"/>
          <w:b w:val="1"/>
          <w:color w:val="26282F"/>
          <w:sz w:val="20"/>
        </w:rPr>
        <w:br/>
      </w:r>
      <w:r>
        <w:rPr>
          <w:rFonts w:ascii="Arial" w:hAnsi="Arial"/>
          <w:b w:val="1"/>
          <w:color w:val="26282F"/>
          <w:sz w:val="20"/>
        </w:rPr>
        <w:t>к</w:t>
      </w:r>
      <w:r>
        <w:rPr>
          <w:rFonts w:ascii="Arial" w:hAnsi="Arial"/>
          <w:b w:val="1"/>
          <w:color w:val="000000"/>
          <w:sz w:val="20"/>
        </w:rPr>
        <w:t xml:space="preserve"> </w:t>
      </w:r>
      <w:r>
        <w:rPr>
          <w:rFonts w:ascii="Arial" w:hAnsi="Arial"/>
          <w:b w:val="0"/>
          <w:color w:val="000000"/>
          <w:sz w:val="20"/>
        </w:rPr>
        <w:t>решению</w:t>
      </w:r>
      <w:r>
        <w:rPr>
          <w:rFonts w:ascii="Arial" w:hAnsi="Arial"/>
          <w:b w:val="1"/>
          <w:color w:val="000000"/>
          <w:sz w:val="20"/>
        </w:rPr>
        <w:t xml:space="preserve"> с</w:t>
      </w:r>
      <w:r>
        <w:rPr>
          <w:rFonts w:ascii="Arial" w:hAnsi="Arial"/>
          <w:b w:val="1"/>
          <w:color w:val="26282F"/>
          <w:sz w:val="20"/>
        </w:rPr>
        <w:t>ессии Совета депутатов района (аймака)</w:t>
      </w:r>
      <w:r>
        <w:rPr>
          <w:rFonts w:ascii="Arial" w:hAnsi="Arial"/>
          <w:b w:val="1"/>
          <w:color w:val="26282F"/>
          <w:sz w:val="20"/>
        </w:rPr>
        <w:br/>
      </w:r>
      <w:r>
        <w:rPr>
          <w:rFonts w:ascii="Arial" w:hAnsi="Arial"/>
          <w:b w:val="1"/>
          <w:color w:val="26282F"/>
          <w:sz w:val="20"/>
        </w:rPr>
        <w:t>"О системе налогообложения</w:t>
      </w:r>
      <w:r>
        <w:rPr>
          <w:rFonts w:ascii="Arial" w:hAnsi="Arial"/>
          <w:b w:val="1"/>
          <w:color w:val="26282F"/>
          <w:sz w:val="20"/>
        </w:rPr>
        <w:br/>
      </w:r>
      <w:r>
        <w:rPr>
          <w:rFonts w:ascii="Arial" w:hAnsi="Arial"/>
          <w:b w:val="1"/>
          <w:color w:val="26282F"/>
          <w:sz w:val="20"/>
        </w:rPr>
        <w:t>в виде единого налога на вмененный доход для</w:t>
      </w:r>
      <w:r>
        <w:rPr>
          <w:rFonts w:ascii="Arial" w:hAnsi="Arial"/>
          <w:b w:val="1"/>
          <w:color w:val="26282F"/>
          <w:sz w:val="20"/>
        </w:rPr>
        <w:br/>
      </w:r>
      <w:r>
        <w:rPr>
          <w:rFonts w:ascii="Arial" w:hAnsi="Arial"/>
          <w:b w:val="1"/>
          <w:color w:val="26282F"/>
          <w:sz w:val="20"/>
        </w:rPr>
        <w:t>отдельных видов деятельности</w:t>
      </w:r>
      <w:r>
        <w:rPr>
          <w:rFonts w:ascii="Arial" w:hAnsi="Arial"/>
          <w:b w:val="1"/>
          <w:color w:val="26282F"/>
          <w:sz w:val="20"/>
        </w:rPr>
        <w:br/>
      </w:r>
      <w:r>
        <w:rPr>
          <w:rFonts w:ascii="Arial" w:hAnsi="Arial"/>
          <w:b w:val="1"/>
          <w:color w:val="26282F"/>
          <w:sz w:val="20"/>
        </w:rPr>
        <w:t>на территории муниципального образования</w:t>
      </w:r>
      <w:r>
        <w:rPr>
          <w:rFonts w:ascii="Arial" w:hAnsi="Arial"/>
          <w:b w:val="1"/>
          <w:color w:val="26282F"/>
          <w:sz w:val="20"/>
        </w:rPr>
        <w:br/>
      </w:r>
      <w:r>
        <w:rPr>
          <w:rFonts w:ascii="Arial" w:hAnsi="Arial"/>
          <w:b w:val="1"/>
          <w:color w:val="26282F"/>
          <w:sz w:val="20"/>
        </w:rPr>
        <w:t>"Онгудайский район"</w:t>
      </w:r>
      <w:r>
        <w:rPr>
          <w:rFonts w:ascii="Arial" w:hAnsi="Arial"/>
          <w:b w:val="1"/>
          <w:color w:val="26282F"/>
          <w:sz w:val="20"/>
        </w:rPr>
        <w:br/>
      </w:r>
      <w:r>
        <w:rPr>
          <w:rFonts w:ascii="Arial" w:hAnsi="Arial"/>
          <w:b w:val="1"/>
          <w:color w:val="26282F"/>
          <w:sz w:val="20"/>
        </w:rPr>
        <w:t>от 21.09.2016 г N 21-2</w:t>
      </w:r>
      <w:r>
        <w:rPr>
          <w:rFonts w:ascii="Arial" w:hAnsi="Arial"/>
          <w:b w:val="1"/>
          <w:color w:val="26282F"/>
          <w:sz w:val="20"/>
        </w:rPr>
        <w:br/>
      </w:r>
      <w:r>
        <w:rPr>
          <w:rFonts w:ascii="Arial" w:hAnsi="Arial"/>
          <w:b w:val="1"/>
          <w:color w:val="26282F"/>
          <w:sz w:val="20"/>
        </w:rPr>
        <w:t>(с изменениями от 3 марта 2020 г.)</w:t>
      </w:r>
    </w:p>
    <w:p w14:paraId="02000000">
      <w:pPr>
        <w:ind w:firstLine="720"/>
        <w:jc w:val="both"/>
        <w:rPr>
          <w:rFonts w:ascii="Arial" w:hAnsi="Arial"/>
          <w:sz w:val="24"/>
        </w:rPr>
      </w:pPr>
    </w:p>
    <w:tbl>
      <w:tblPr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0"/>
        <w:gridCol w:w="1745"/>
        <w:gridCol w:w="1005"/>
        <w:gridCol w:w="1110"/>
        <w:gridCol w:w="1011"/>
        <w:gridCol w:w="1095"/>
        <w:gridCol w:w="1035"/>
        <w:gridCol w:w="1170"/>
        <w:gridCol w:w="1005"/>
        <w:gridCol w:w="990"/>
        <w:gridCol w:w="960"/>
        <w:gridCol w:w="1260"/>
        <w:gridCol w:w="1260"/>
        <w:gridCol w:w="1260"/>
      </w:tblGrid>
      <w:tr>
        <w:tc>
          <w:tcPr>
            <w:tcW w:type="dxa" w:w="7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 п/п</w:t>
            </w:r>
          </w:p>
        </w:tc>
        <w:tc>
          <w:tcPr>
            <w:tcW w:type="dxa" w:w="17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Виды предпринимательской деятельности</w:t>
            </w:r>
          </w:p>
        </w:tc>
        <w:tc>
          <w:tcPr>
            <w:tcW w:type="dxa" w:w="1316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Значение корректирующего коэффициента К2</w:t>
            </w:r>
          </w:p>
        </w:tc>
      </w:tr>
      <w:tr>
        <w:tc>
          <w:tcPr>
            <w:tcW w:type="dxa" w:w="7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территории Онгудайского сельского поселения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территориях сельских поселений района кроме Онгудайского сельского поселения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территории Онгудайского сельского поселения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территориях сельских поселений района кроме Онгудайского сельского поселения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территории Онгудайского сельского поселения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территориях сельских поселений района кроме Онгудайского сельского поселения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территории Онгудайского сельского поселения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территориях сельских поселений района кроме Онгудайского сельского поселения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территории Онгудайского сельского поселения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территориях сельских поселений района кроме Онгудайского сельского поселения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территории Онгудайского сельского поселения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объекты, расположенные на территориях сельских поселений района кроме Онгудайского сельского поселения</w:t>
            </w:r>
          </w:p>
        </w:tc>
      </w:tr>
      <w:tr>
        <w:tc>
          <w:tcPr>
            <w:tcW w:type="dxa" w:w="7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 5 кв. м.</w:t>
            </w:r>
          </w:p>
        </w:tc>
        <w:tc>
          <w:tcPr>
            <w:tcW w:type="dxa" w:w="21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 5,1 до 10 кв. м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 10,1 до 20 кв. м</w:t>
            </w:r>
          </w:p>
        </w:tc>
        <w:tc>
          <w:tcPr>
            <w:tcW w:type="dxa" w:w="19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 20,1 до 50 кв. м</w:t>
            </w:r>
          </w:p>
        </w:tc>
        <w:tc>
          <w:tcPr>
            <w:tcW w:type="dxa" w:w="22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 50,1 до 100 кв. м</w:t>
            </w:r>
          </w:p>
        </w:tc>
        <w:tc>
          <w:tcPr>
            <w:tcW w:type="dxa" w:w="25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 100,1 до 150 кв. м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type="dxa" w:w="14906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Розничная торговля, осуществляемая через магазины и павильоны с площадью торгового зала не более 150 кв. м. по каждому объекту организации торговли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Продовольственные товары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0,398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0,391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0,288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0,282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0,188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0,200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0,182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0,189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0,128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Пиво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0,649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0,638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0,469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0,459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0,263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0,254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0,398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0,335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0,307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0,202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0,199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7000000">
            <w:pPr>
              <w:ind w:firstLine="0" w:left="-992" w:right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Винно-водочные и табачные изделия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00000">
            <w:pPr>
              <w:ind w:firstLine="0" w:left="-992" w:right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1,000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000000">
            <w:pPr>
              <w:ind w:firstLine="0" w:left="-992" w:right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1,000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00000">
            <w:pPr>
              <w:ind w:firstLine="0" w:left="-992" w:right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0,727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0,414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0,399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0,600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0,583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0,367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0,360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0,334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6.4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5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Овощи, фрукты, цветы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0,617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0,606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0,453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9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0,445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0,199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0,376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0,376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0,265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0,264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0,201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0,199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6.5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3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Автомобили, запчасти и аксессуары для автомобилей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0,727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0,507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0,498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0,315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0,304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0,417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0,417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0,335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0,334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0,242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0,240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6.6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1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Головные уборы и одежда из кожи и меха (за исключением реализации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</w: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begin"/>
            </w:r>
            <w:r>
              <w:rPr>
                <w:rFonts w:ascii="Arial" w:hAnsi="Arial"/>
                <w:b w:val="0"/>
                <w:color w:val="106BBE"/>
                <w:sz w:val="16"/>
              </w:rPr>
              <w:instrText>HYPERLINK "garantF1://70550730.0"</w:instrTex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separate"/>
            </w:r>
            <w:r>
              <w:rPr>
                <w:rFonts w:ascii="Arial" w:hAnsi="Arial"/>
                <w:b w:val="0"/>
                <w:color w:val="106BBE"/>
                <w:sz w:val="16"/>
              </w:rPr>
              <w:t>Общероссийского классификатора</w: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продукции по видам экономической деятельности и (или) по перечню кодов товаров в соответствии с </w: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begin"/>
            </w:r>
            <w:r>
              <w:rPr>
                <w:rFonts w:ascii="Arial" w:hAnsi="Arial"/>
                <w:b w:val="0"/>
                <w:color w:val="106BBE"/>
                <w:sz w:val="16"/>
              </w:rPr>
              <w:instrText>HYPERLINK "garantF1://70105520.100000"</w:instrTex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separate"/>
            </w:r>
            <w:r>
              <w:rPr>
                <w:rFonts w:ascii="Arial" w:hAnsi="Arial"/>
                <w:b w:val="0"/>
                <w:color w:val="106BBE"/>
                <w:sz w:val="16"/>
              </w:rPr>
              <w:t>Товарной номенклатурой</w: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внешнеэкономической деятельности Евразийского экономического союза, определяемых Правительством Российской Федерации)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0,949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0,931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0,727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0,355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0,626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0,626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0,392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0,389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0,341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0,338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6.7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Канцелярские товары, ученические тетради, книги и печатная продукция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0,328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0,323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0,247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0,243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0,098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0,195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0,153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0,153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0,098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6.8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Лесоматериалы в т.ч. дрова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0,865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0,849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0,603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0,592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0,353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0,473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0,473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0,307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0,306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0,268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6.9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Комиссионные товары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0,178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0,174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0,124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0,592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0,098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1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0,083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6.10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Спортивные и туристические товары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0,356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0,351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0,247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0,121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0,353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1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0,195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0,139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0,139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0,098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6.11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7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Товары детского ассортимента (одежда, игрушки, обувь (за исключением реализации обувных товаров, подлежащих обязательной маркировке средствами идентификации, в том числе контрольными (идентификационными) знаками по перечню кодов </w: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begin"/>
            </w:r>
            <w:r>
              <w:rPr>
                <w:rFonts w:ascii="Arial" w:hAnsi="Arial"/>
                <w:b w:val="0"/>
                <w:color w:val="106BBE"/>
                <w:sz w:val="16"/>
              </w:rPr>
              <w:instrText>HYPERLINK "garantF1://70550730.0"</w:instrTex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separate"/>
            </w:r>
            <w:r>
              <w:rPr>
                <w:rFonts w:ascii="Arial" w:hAnsi="Arial"/>
                <w:b w:val="0"/>
                <w:color w:val="106BBE"/>
                <w:sz w:val="16"/>
              </w:rPr>
              <w:t>Общероссийского классификатора</w: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продукции по видам экономической деятельности и (или) по перечню кодов товаров в соответствии с </w: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begin"/>
            </w:r>
            <w:r>
              <w:rPr>
                <w:rFonts w:ascii="Arial" w:hAnsi="Arial"/>
                <w:b w:val="0"/>
                <w:color w:val="106BBE"/>
                <w:sz w:val="16"/>
              </w:rPr>
              <w:instrText>HYPERLINK "garantF1://70105520.100000"</w:instrTex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separate"/>
            </w:r>
            <w:r>
              <w:rPr>
                <w:rFonts w:ascii="Arial" w:hAnsi="Arial"/>
                <w:b w:val="0"/>
                <w:color w:val="106BBE"/>
                <w:sz w:val="16"/>
              </w:rPr>
              <w:t>Товарной номенклатурой</w:t>
            </w:r>
            <w:r>
              <w:rPr>
                <w:rFonts w:ascii="Arial" w:hAnsi="Arial"/>
                <w:b w:val="0"/>
                <w:color w:val="106BBE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внешнеэкономической деятельности Евразийского экономического союза, определяемых Правительством Российской Федерации)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0,439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0,431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0,243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0,075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0,264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0,156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0,155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6.12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5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Ювелирные изделия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0,987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0,969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9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0,337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0,098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0,378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0,612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0,553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0,377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0,376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0,341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0,338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6.14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Прочие товары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0,617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0,606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0,453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0,727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0,183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0,376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0,376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0,224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0,223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0,200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0,197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type="dxa" w:w="14906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1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 кв. м. по каждому объекту организации общественного питания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8.1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Реализующие пиво и винно-водочные изделия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0,987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0,969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0,762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0,749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1,000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9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1,000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0,556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0,556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0,392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0,389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E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0,299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F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0,296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8.2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1000000">
            <w:pPr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 реализующие винно-водочные изделия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2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0,461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3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0,485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4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0,383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5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0,377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6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0,270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7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0,261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9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0,278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A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0,195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B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0,195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C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0,156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D000000">
            <w:pPr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0,155</w:t>
            </w:r>
          </w:p>
        </w:tc>
      </w:tr>
    </w:tbl>
    <w:p w14:paraId="EE000000">
      <w:pPr>
        <w:pStyle w:val="Style_1"/>
        <w:ind w:right="0"/>
      </w:pPr>
    </w:p>
    <w:sectPr>
      <w:pgSz w:h="11908" w:w="16848"/>
      <w:pgMar w:bottom="1134" w:left="283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